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774" w:type="dxa"/>
        <w:jc w:val="center"/>
        <w:tblLayout w:type="fixed"/>
        <w:tblCellMar>
          <w:top w:w="0" w:type="dxa"/>
          <w:left w:w="108" w:type="dxa"/>
          <w:bottom w:w="0" w:type="dxa"/>
          <w:right w:w="108" w:type="dxa"/>
        </w:tblCellMar>
      </w:tblPr>
      <w:tblGrid>
        <w:gridCol w:w="1965"/>
        <w:gridCol w:w="1812"/>
        <w:gridCol w:w="1687"/>
        <w:gridCol w:w="199"/>
        <w:gridCol w:w="2417"/>
        <w:gridCol w:w="128"/>
        <w:gridCol w:w="1718"/>
        <w:gridCol w:w="1026"/>
        <w:gridCol w:w="2822"/>
      </w:tblGrid>
      <w:tr>
        <w:tblPrEx>
          <w:tblCellMar>
            <w:top w:w="0" w:type="dxa"/>
            <w:left w:w="108" w:type="dxa"/>
            <w:bottom w:w="0" w:type="dxa"/>
            <w:right w:w="108" w:type="dxa"/>
          </w:tblCellMar>
        </w:tblPrEx>
        <w:trPr>
          <w:trHeight w:val="1059" w:hRule="atLeast"/>
          <w:jc w:val="center"/>
        </w:trPr>
        <w:tc>
          <w:tcPr>
            <w:tcW w:w="13774" w:type="dxa"/>
            <w:gridSpan w:val="9"/>
            <w:tcBorders>
              <w:top w:val="nil"/>
              <w:left w:val="nil"/>
              <w:bottom w:val="nil"/>
              <w:right w:val="nil"/>
            </w:tcBorders>
            <w:shd w:val="clear" w:color="auto" w:fill="auto"/>
            <w:noWrap/>
            <w:vAlign w:val="center"/>
          </w:tcPr>
          <w:p>
            <w:pPr>
              <w:widowControl/>
              <w:spacing w:before="156" w:beforeLines="50" w:line="500" w:lineRule="exact"/>
              <w:jc w:val="center"/>
              <w:textAlignment w:val="center"/>
              <w:rPr>
                <w:rFonts w:ascii="宋体" w:hAnsi="宋体" w:eastAsia="宋体" w:cs="宋体"/>
                <w:b/>
                <w:bCs/>
                <w:color w:val="000000"/>
                <w:sz w:val="32"/>
                <w:szCs w:val="32"/>
              </w:rPr>
            </w:pPr>
            <w:r>
              <w:rPr>
                <w:rFonts w:hint="eastAsia" w:ascii="黑体" w:hAnsi="黑体" w:eastAsia="黑体" w:cs="黑体"/>
                <w:color w:val="000000"/>
                <w:kern w:val="0"/>
                <w:sz w:val="44"/>
                <w:szCs w:val="44"/>
              </w:rPr>
              <w:t>实验室</w:t>
            </w:r>
            <w:r>
              <w:rPr>
                <w:rFonts w:hint="eastAsia" w:ascii="黑体" w:hAnsi="黑体" w:eastAsia="黑体" w:cs="黑体"/>
                <w:color w:val="000000"/>
                <w:kern w:val="0"/>
                <w:sz w:val="44"/>
                <w:szCs w:val="44"/>
                <w:lang w:val="en-US" w:eastAsia="zh-CN"/>
              </w:rPr>
              <w:t>危化品</w:t>
            </w:r>
            <w:r>
              <w:rPr>
                <w:rFonts w:hint="eastAsia" w:ascii="黑体" w:hAnsi="黑体" w:eastAsia="黑体" w:cs="黑体"/>
                <w:color w:val="000000"/>
                <w:kern w:val="0"/>
                <w:sz w:val="44"/>
                <w:szCs w:val="44"/>
              </w:rPr>
              <w:t>安全检查登记表</w:t>
            </w:r>
          </w:p>
        </w:tc>
      </w:tr>
      <w:tr>
        <w:tblPrEx>
          <w:tblCellMar>
            <w:top w:w="0" w:type="dxa"/>
            <w:left w:w="108" w:type="dxa"/>
            <w:bottom w:w="0" w:type="dxa"/>
            <w:right w:w="108" w:type="dxa"/>
          </w:tblCellMar>
        </w:tblPrEx>
        <w:trPr>
          <w:trHeight w:val="652" w:hRule="atLeast"/>
          <w:jc w:val="center"/>
        </w:trPr>
        <w:tc>
          <w:tcPr>
            <w:tcW w:w="137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before="156" w:beforeLines="50" w:line="500" w:lineRule="exact"/>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一、实验室检查基本信息</w:t>
            </w:r>
          </w:p>
        </w:tc>
      </w:tr>
      <w:tr>
        <w:tblPrEx>
          <w:tblCellMar>
            <w:top w:w="0" w:type="dxa"/>
            <w:left w:w="108" w:type="dxa"/>
            <w:bottom w:w="0" w:type="dxa"/>
            <w:right w:w="108" w:type="dxa"/>
          </w:tblCellMar>
        </w:tblPrEx>
        <w:trPr>
          <w:trHeight w:val="652" w:hRule="atLeast"/>
          <w:jc w:val="center"/>
        </w:trPr>
        <w:tc>
          <w:tcPr>
            <w:tcW w:w="19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 位 名 称</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楼 宇 名 称</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rPr>
                <w:rFonts w:ascii="宋体" w:hAnsi="宋体" w:eastAsia="宋体" w:cs="宋体"/>
                <w:color w:val="000000"/>
                <w:sz w:val="22"/>
                <w:szCs w:val="22"/>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房 间 号</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52" w:hRule="atLeast"/>
          <w:jc w:val="center"/>
        </w:trPr>
        <w:tc>
          <w:tcPr>
            <w:tcW w:w="19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安全责任人</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rPr>
                <w:rFonts w:ascii="宋体" w:hAnsi="宋体" w:eastAsia="宋体" w:cs="宋体"/>
                <w:color w:val="000000"/>
                <w:sz w:val="22"/>
                <w:szCs w:val="22"/>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  查  人</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rPr>
                <w:rFonts w:ascii="宋体" w:hAnsi="宋体" w:eastAsia="宋体" w:cs="宋体"/>
                <w:color w:val="000000"/>
                <w:sz w:val="22"/>
                <w:szCs w:val="22"/>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检查日期</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52" w:hRule="atLeast"/>
          <w:jc w:val="center"/>
        </w:trPr>
        <w:tc>
          <w:tcPr>
            <w:tcW w:w="13774" w:type="dxa"/>
            <w:gridSpan w:val="9"/>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before="156" w:beforeLines="50" w:line="500" w:lineRule="exact"/>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二、检查项目及结果</w:t>
            </w:r>
          </w:p>
        </w:tc>
      </w:tr>
      <w:tr>
        <w:tblPrEx>
          <w:tblCellMar>
            <w:top w:w="0" w:type="dxa"/>
            <w:left w:w="108" w:type="dxa"/>
            <w:bottom w:w="0" w:type="dxa"/>
            <w:right w:w="108" w:type="dxa"/>
          </w:tblCellMar>
        </w:tblPrEx>
        <w:trPr>
          <w:trHeight w:val="1036" w:hRule="atLeast"/>
          <w:jc w:val="center"/>
        </w:trPr>
        <w:tc>
          <w:tcPr>
            <w:tcW w:w="1965" w:type="dxa"/>
            <w:tcBorders>
              <w:top w:val="single" w:color="000000" w:sz="8" w:space="0"/>
              <w:left w:val="single" w:color="000000" w:sz="8" w:space="0"/>
              <w:bottom w:val="single" w:color="000000" w:sz="4" w:space="0"/>
              <w:right w:val="single" w:color="auto"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检查要点</w:t>
            </w:r>
          </w:p>
        </w:tc>
        <w:tc>
          <w:tcPr>
            <w:tcW w:w="3499" w:type="dxa"/>
            <w:gridSpan w:val="2"/>
            <w:tcBorders>
              <w:top w:val="single" w:color="000000" w:sz="8" w:space="0"/>
              <w:left w:val="single" w:color="auto" w:sz="4"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检查标准</w:t>
            </w:r>
          </w:p>
        </w:tc>
        <w:tc>
          <w:tcPr>
            <w:tcW w:w="2744" w:type="dxa"/>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检查情况描述</w:t>
            </w:r>
          </w:p>
        </w:tc>
        <w:tc>
          <w:tcPr>
            <w:tcW w:w="274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before="156" w:beforeLines="50" w:line="500" w:lineRule="exact"/>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整改责任人/整改时限</w:t>
            </w:r>
          </w:p>
        </w:tc>
        <w:tc>
          <w:tcPr>
            <w:tcW w:w="282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before="156" w:beforeLines="50" w:line="500" w:lineRule="exact"/>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整改完成情况</w:t>
            </w:r>
          </w:p>
        </w:tc>
      </w:tr>
      <w:tr>
        <w:tblPrEx>
          <w:tblCellMar>
            <w:top w:w="0" w:type="dxa"/>
            <w:left w:w="108" w:type="dxa"/>
            <w:bottom w:w="0" w:type="dxa"/>
            <w:right w:w="108" w:type="dxa"/>
          </w:tblCellMar>
        </w:tblPrEx>
        <w:trPr>
          <w:trHeight w:val="556" w:hRule="atLeast"/>
          <w:jc w:val="center"/>
        </w:trPr>
        <w:tc>
          <w:tcPr>
            <w:tcW w:w="1965" w:type="dxa"/>
            <w:vMerge w:val="restart"/>
            <w:tcBorders>
              <w:top w:val="single" w:color="000000" w:sz="4" w:space="0"/>
              <w:left w:val="single" w:color="000000" w:sz="8" w:space="0"/>
              <w:right w:val="single" w:color="auto" w:sz="4" w:space="0"/>
            </w:tcBorders>
            <w:shd w:val="clear" w:color="auto" w:fill="auto"/>
            <w:noWrap/>
            <w:vAlign w:val="center"/>
          </w:tcPr>
          <w:p>
            <w:pPr>
              <w:spacing w:before="50" w:line="500" w:lineRule="exact"/>
              <w:rPr>
                <w:kern w:val="0"/>
                <w:szCs w:val="21"/>
              </w:rPr>
            </w:pPr>
            <w:r>
              <w:rPr>
                <w:rFonts w:hint="eastAsia"/>
              </w:rPr>
              <w:t>实验室内危险化学品建有动态台账</w:t>
            </w:r>
          </w:p>
        </w:tc>
        <w:tc>
          <w:tcPr>
            <w:tcW w:w="3499"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是否有本实验室危险化学品目录</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61"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Style w:val="4"/>
                <w:lang w:val="en-US" w:eastAsia="zh-CN" w:bidi="ar"/>
              </w:rPr>
              <w:t>是否</w:t>
            </w:r>
            <w:r>
              <w:rPr>
                <w:rStyle w:val="5"/>
                <w:lang w:val="en-US" w:eastAsia="zh-CN" w:bidi="ar"/>
              </w:rPr>
              <w:t>有</w:t>
            </w:r>
            <w:r>
              <w:rPr>
                <w:rStyle w:val="6"/>
                <w:lang w:val="en-US" w:eastAsia="zh-CN" w:bidi="ar"/>
              </w:rPr>
              <w:t>危险</w:t>
            </w:r>
            <w:bookmarkStart w:id="0" w:name="_GoBack"/>
            <w:bookmarkEnd w:id="0"/>
            <w:r>
              <w:rPr>
                <w:rStyle w:val="6"/>
                <w:lang w:val="en-US" w:eastAsia="zh-CN" w:bidi="ar"/>
              </w:rPr>
              <w:t>化学品安全技术说明书（MSDS）或安全周知卡</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4" w:hRule="atLeast"/>
          <w:jc w:val="center"/>
        </w:trPr>
        <w:tc>
          <w:tcPr>
            <w:tcW w:w="1965" w:type="dxa"/>
            <w:vMerge w:val="restart"/>
            <w:tcBorders>
              <w:top w:val="single" w:color="auto" w:sz="4" w:space="0"/>
              <w:left w:val="single" w:color="000000" w:sz="8" w:space="0"/>
              <w:right w:val="single" w:color="auto" w:sz="4" w:space="0"/>
            </w:tcBorders>
            <w:shd w:val="clear" w:color="auto" w:fill="auto"/>
            <w:noWrap/>
            <w:vAlign w:val="center"/>
          </w:tcPr>
          <w:p>
            <w:pPr>
              <w:spacing w:before="50" w:line="500" w:lineRule="exact"/>
              <w:rPr>
                <w:rFonts w:ascii="仿宋" w:hAnsi="仿宋" w:eastAsia="仿宋"/>
                <w:sz w:val="24"/>
              </w:rPr>
            </w:pPr>
            <w:r>
              <w:rPr>
                <w:rFonts w:hint="eastAsia"/>
              </w:rPr>
              <w:t>化学品有专用存放空间并科学有序存放</w:t>
            </w:r>
          </w:p>
        </w:tc>
        <w:tc>
          <w:tcPr>
            <w:tcW w:w="3499"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储藏室、储藏区、储存柜是否满足通风、隔热、避光</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有机溶剂储存区是否远离热源和火源</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易泄漏、易挥发的试剂是否有通风</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试剂柜中是否有电源插座 或接线板</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化学品是否按照《常用危险化学品储存禁忌物配存表》有序分类存放</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固体液体是否混乱放置</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危险化学品是否叠放</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7" w:hRule="atLeast"/>
          <w:jc w:val="center"/>
        </w:trPr>
        <w:tc>
          <w:tcPr>
            <w:tcW w:w="1965" w:type="dxa"/>
            <w:vMerge w:val="continue"/>
            <w:tcBorders>
              <w:left w:val="single" w:color="000000" w:sz="8"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试剂瓶是否开口放置</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9" w:hRule="atLeast"/>
          <w:jc w:val="center"/>
        </w:trPr>
        <w:tc>
          <w:tcPr>
            <w:tcW w:w="1965" w:type="dxa"/>
            <w:vMerge w:val="continue"/>
            <w:tcBorders>
              <w:left w:val="single" w:color="000000" w:sz="8" w:space="0"/>
              <w:bottom w:val="single" w:color="auto" w:sz="4" w:space="0"/>
              <w:right w:val="single" w:color="auto" w:sz="4" w:space="0"/>
            </w:tcBorders>
            <w:shd w:val="clear" w:color="auto" w:fill="auto"/>
            <w:noWrap/>
            <w:vAlign w:val="center"/>
          </w:tcPr>
          <w:p>
            <w:pPr>
              <w:widowControl/>
              <w:spacing w:before="156" w:beforeLines="50" w:line="500" w:lineRule="exact"/>
              <w:jc w:val="left"/>
              <w:textAlignment w:val="center"/>
              <w:rPr>
                <w:rFonts w:ascii="宋体" w:hAnsi="宋体" w:eastAsia="宋体" w:cs="宋体"/>
                <w:color w:val="000000"/>
                <w:sz w:val="22"/>
                <w:szCs w:val="22"/>
              </w:rPr>
            </w:pPr>
          </w:p>
        </w:tc>
        <w:tc>
          <w:tcPr>
            <w:tcW w:w="3499"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实验台架上存放化学试剂是否有挡板</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9" w:hRule="atLeast"/>
          <w:jc w:val="center"/>
        </w:trPr>
        <w:tc>
          <w:tcPr>
            <w:tcW w:w="1965" w:type="dxa"/>
            <w:tcBorders>
              <w:left w:val="single" w:color="000000"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实验室内存放的危险化学品总量符合规定要求</w:t>
            </w:r>
          </w:p>
        </w:tc>
        <w:tc>
          <w:tcPr>
            <w:tcW w:w="3499"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原则上每间实验室危险化学品总量不应超过20公升或20千克</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81" w:hRule="atLeast"/>
          <w:jc w:val="center"/>
        </w:trPr>
        <w:tc>
          <w:tcPr>
            <w:tcW w:w="1965" w:type="dxa"/>
            <w:vMerge w:val="restart"/>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r>
              <w:rPr>
                <w:rFonts w:hint="eastAsia"/>
              </w:rPr>
              <w:t>化学品标签应显著完整清晰</w:t>
            </w:r>
          </w:p>
        </w:tc>
        <w:tc>
          <w:tcPr>
            <w:tcW w:w="3499"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化学品包装物上是否有符合规定的化学品标签</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2" w:hRule="atLeast"/>
          <w:jc w:val="center"/>
        </w:trPr>
        <w:tc>
          <w:tcPr>
            <w:tcW w:w="1965" w:type="dxa"/>
            <w:vMerge w:val="continue"/>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当化学品由原包装物转移或分装到其他包装物内时，转移或分装后的包装物是否重新粘贴标识</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68" w:hRule="atLeast"/>
          <w:jc w:val="center"/>
        </w:trPr>
        <w:tc>
          <w:tcPr>
            <w:tcW w:w="1965" w:type="dxa"/>
            <w:vMerge w:val="continue"/>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化学品标签脱落模糊、腐蚀后是否及时补上</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905" w:hRule="atLeast"/>
          <w:jc w:val="center"/>
        </w:trPr>
        <w:tc>
          <w:tcPr>
            <w:tcW w:w="1965" w:type="dxa"/>
            <w:vMerge w:val="continue"/>
            <w:tcBorders>
              <w:top w:val="single" w:color="000000" w:sz="4" w:space="0"/>
              <w:left w:val="single" w:color="000000" w:sz="8" w:space="0"/>
              <w:bottom w:val="single" w:color="auto" w:sz="4" w:space="0"/>
              <w:right w:val="single" w:color="000000"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不能确认的危险化学品是否按废弃化学品处置</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545" w:hRule="atLeast"/>
          <w:jc w:val="center"/>
        </w:trPr>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156" w:beforeLines="50" w:line="240" w:lineRule="auto"/>
              <w:jc w:val="left"/>
              <w:textAlignment w:val="auto"/>
              <w:rPr>
                <w:rFonts w:hint="eastAsia"/>
              </w:rPr>
            </w:pPr>
            <w:r>
              <w:rPr>
                <w:rFonts w:hint="eastAsia"/>
              </w:rPr>
              <w:t>制定危险实验、危险化工工艺指导书、各类标准操作规程（SOP）、应急预案</w:t>
            </w:r>
          </w:p>
          <w:p>
            <w:pPr>
              <w:spacing w:before="156" w:beforeLines="50" w:line="500" w:lineRule="exact"/>
              <w:jc w:val="left"/>
              <w:rPr>
                <w:rFonts w:hint="eastAsia"/>
              </w:rPr>
            </w:pPr>
          </w:p>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是否建立指导书和预案上墙或便于取阅</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14"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实验人员是否按照指导书进行实验</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实验人员是否熟悉所涉及的危险性及应急处理措施</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122" w:hRule="atLeast"/>
          <w:jc w:val="center"/>
        </w:trPr>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r>
              <w:rPr>
                <w:rFonts w:hint="eastAsia" w:ascii="宋体" w:hAnsi="宋体" w:eastAsia="宋体" w:cs="宋体"/>
                <w:color w:val="000000"/>
                <w:sz w:val="22"/>
                <w:szCs w:val="22"/>
              </w:rPr>
              <w:t>危险化工工艺和装置应设置自动控制和电源冗余设计</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涉及危险化工工艺、重点监管危险化学品的反应装置是否设置自动化控制系统</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line="500" w:lineRule="exact"/>
              <w:jc w:val="left"/>
              <w:rPr>
                <w:rFonts w:ascii="宋体" w:hAnsi="宋体" w:eastAsia="宋体" w:cs="宋体"/>
                <w:color w:val="000000"/>
                <w:sz w:val="22"/>
                <w:szCs w:val="22"/>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涉及放热反应的危险化工工艺生产装置是否设置双重电源供电或控制系统应配置不间断电源</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做好有毒有害废气的处理和防护</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对于产生有毒有害废气的实验，是否在通风柜中进行；是否在实验装置尾端配有气体吸收装置；是否配备合适有效的呼吸器</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rPr>
              <w:t>易制爆化学品存量合规、双人双锁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是否存放在专用储存柜内</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储存场所防盗安全级别是否满足乙级（含）以上要求</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专用储存柜应具有防盗功能，符合双人双锁管理要求并安装机械防盗锁</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易制毒化学品储存规范，台账清晰</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是否设置专柜储存</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专柜是否使用保险柜</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第一类 易制毒化学品、药品类易制毒化学品实现双人双锁管理，账册保存期限不少于 2年</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麻醉药品和第一类精神药品管理符合“双人双锁”，有专用账册</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是否设立专柜储存</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专柜是否使用保险柜</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专柜是否实行双人双锁管理</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是否配备专人管理并建立专用账册，专用账册的保存期限是否自药品有效期期满之日起不少于5年</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实验室应设立化学废弃物暂存区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暂存区是否远离火源、热源</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是否满足物质的相容性</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是否存在日晒、雨淋现象</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存放两种及以上不相容的实验室危险废物时，是否分不同区域暂存</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暂存区是否有定置线、警示标识</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是否有防遗洒、 防渗漏设施或措施</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实验室内须规范收集化学废弃物</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危险废物是否按化学特性和危险特性，进行分类收集和暂存</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废弃的化学试剂是否存放在原试剂瓶中，保留原标签，并瓶口朝上放入专用固废箱中</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针头等利器是否放入利器盒中收集</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废液是否分类装入专用废液桶中</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废液桶是否满足耐腐蚀、抗溶剂、耐挤压、抗冲击的要求</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实验室危险废物收集容器上是否粘贴专用的标签</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是否有将实验室危险废物直接排入下水道的行为</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是否存在与生活垃圾、感染性废物或放射性废 物等混装的现象</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配制试剂需要张贴标签</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装有配制试剂、合成品、样品等的容器上是否有标签且信息明确，标签信息包括名称或编号、使用人、日期等</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是否使用饮料瓶存放试剂、样品的现象，如确需使用，是否撕去原包装纸，贴上统一的试剂标签</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2" w:hRule="atLeast"/>
          <w:jc w:val="center"/>
        </w:trPr>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不使用破损量筒、试管、移液管等玻璃器皿</w:t>
            </w:r>
          </w:p>
        </w:tc>
        <w:tc>
          <w:tcPr>
            <w:tcW w:w="349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是否有使用破损量筒、试管、移液管等玻璃器皿的现象</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rFonts w:ascii="宋体" w:hAnsi="宋体" w:eastAsia="宋体" w:cs="宋体"/>
                <w:color w:val="000000"/>
                <w:sz w:val="22"/>
                <w:szCs w:val="22"/>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1376B"/>
    <w:rsid w:val="2B3F7674"/>
    <w:rsid w:val="2FDB6D5C"/>
    <w:rsid w:val="2FE06F6D"/>
    <w:rsid w:val="3A682DF8"/>
    <w:rsid w:val="3B900A11"/>
    <w:rsid w:val="3D0D1529"/>
    <w:rsid w:val="574C5E5A"/>
    <w:rsid w:val="5F7F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2"/>
      <w:szCs w:val="22"/>
      <w:u w:val="none"/>
    </w:rPr>
  </w:style>
  <w:style w:type="character" w:customStyle="1" w:styleId="5">
    <w:name w:val="font11"/>
    <w:basedOn w:val="3"/>
    <w:uiPriority w:val="0"/>
    <w:rPr>
      <w:rFonts w:hint="eastAsia" w:ascii="宋体" w:hAnsi="宋体" w:eastAsia="宋体" w:cs="宋体"/>
      <w:color w:val="000000"/>
      <w:sz w:val="22"/>
      <w:szCs w:val="22"/>
      <w:u w:val="none"/>
    </w:rPr>
  </w:style>
  <w:style w:type="character" w:customStyle="1" w:styleId="6">
    <w:name w:val="font2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2021-06-16T22:06:00Z</dcterms:created>
  <dc:creator>Administrator</dc:creator>
  <cp:lastModifiedBy>疾风</cp:lastModifiedBy>
  <dcterms:modified xsi:type="dcterms:W3CDTF">2021-06-16T22:25:10Z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277B474DF4DB481FBCB3083A65C89C62</vt:lpwstr>
  </property>
</Properties>
</file>